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6CE8" w14:textId="782B8234" w:rsidR="007E1AE8" w:rsidRPr="007E1AE8" w:rsidRDefault="007E1AE8" w:rsidP="005601F4">
      <w:pPr>
        <w:spacing w:after="0" w:line="240" w:lineRule="auto"/>
        <w:ind w:left="709" w:firstLine="709"/>
        <w:rPr>
          <w:b/>
          <w:sz w:val="28"/>
          <w:szCs w:val="28"/>
        </w:rPr>
      </w:pPr>
      <w:r w:rsidRPr="007E1AE8">
        <w:rPr>
          <w:b/>
          <w:sz w:val="28"/>
          <w:szCs w:val="28"/>
        </w:rPr>
        <w:t>PREPARAZIONE ALL’ESECUZIONE DI ESAMI DI TC CON MDC</w:t>
      </w:r>
    </w:p>
    <w:p w14:paraId="2D10008F" w14:textId="77777777" w:rsidR="007E1AE8" w:rsidRPr="00433A98" w:rsidRDefault="007E1AE8" w:rsidP="007E1AE8">
      <w:pPr>
        <w:spacing w:after="0" w:line="240" w:lineRule="auto"/>
        <w:rPr>
          <w:b/>
          <w:sz w:val="24"/>
          <w:szCs w:val="24"/>
        </w:rPr>
      </w:pPr>
    </w:p>
    <w:p w14:paraId="59F24697" w14:textId="77777777" w:rsidR="007E1AE8" w:rsidRPr="007E1AE8" w:rsidRDefault="007E1AE8" w:rsidP="007E1AE8">
      <w:pPr>
        <w:spacing w:after="0" w:line="240" w:lineRule="auto"/>
        <w:jc w:val="both"/>
      </w:pPr>
      <w:r w:rsidRPr="007E1AE8">
        <w:t>Per l’esecuzione dell’esame TAC con mezzo di contrasto, occorre aver effettuato i seguenti esami</w:t>
      </w:r>
    </w:p>
    <w:p w14:paraId="3E8AE420" w14:textId="77777777" w:rsidR="007E1AE8" w:rsidRPr="007E1AE8" w:rsidRDefault="007E1AE8" w:rsidP="007E1AE8">
      <w:pPr>
        <w:spacing w:after="0" w:line="240" w:lineRule="auto"/>
        <w:jc w:val="both"/>
      </w:pPr>
      <w:r w:rsidRPr="007E1AE8">
        <w:t>ematici:</w:t>
      </w:r>
    </w:p>
    <w:p w14:paraId="715E6E39" w14:textId="77777777" w:rsidR="007E1AE8" w:rsidRPr="007E1AE8" w:rsidRDefault="007E1AE8" w:rsidP="0044595E">
      <w:pPr>
        <w:spacing w:after="0" w:line="240" w:lineRule="auto"/>
        <w:jc w:val="center"/>
      </w:pPr>
    </w:p>
    <w:p w14:paraId="4EB76F4D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>GLICEMIA</w:t>
      </w:r>
    </w:p>
    <w:p w14:paraId="6E35BAB5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>AZOTEMIA</w:t>
      </w:r>
    </w:p>
    <w:p w14:paraId="1E489483" w14:textId="77777777" w:rsid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 xml:space="preserve">CREATININEMIA </w:t>
      </w:r>
    </w:p>
    <w:p w14:paraId="443AC472" w14:textId="1A32991E" w:rsidR="004F4088" w:rsidRDefault="004F408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FILTRATO GLOMERULARE</w:t>
      </w:r>
    </w:p>
    <w:p w14:paraId="2228C295" w14:textId="5CB5AC87" w:rsidR="00AB09B4" w:rsidRPr="007E1AE8" w:rsidRDefault="00AB09B4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ELETTROFORESI SIEROPROTEICA</w:t>
      </w:r>
    </w:p>
    <w:p w14:paraId="617628A6" w14:textId="77777777" w:rsidR="007E1AE8" w:rsidRPr="007E1AE8" w:rsidRDefault="007E1AE8" w:rsidP="007E1AE8">
      <w:pPr>
        <w:spacing w:after="0" w:line="240" w:lineRule="auto"/>
        <w:ind w:left="360"/>
        <w:jc w:val="both"/>
      </w:pPr>
    </w:p>
    <w:p w14:paraId="0D0257F4" w14:textId="5489214B" w:rsidR="007E1AE8" w:rsidRPr="007E1AE8" w:rsidRDefault="007E1AE8" w:rsidP="007E1AE8">
      <w:pPr>
        <w:spacing w:after="0" w:line="240" w:lineRule="auto"/>
        <w:jc w:val="both"/>
      </w:pPr>
      <w:r w:rsidRPr="007E1AE8">
        <w:t xml:space="preserve">N.B. </w:t>
      </w:r>
      <w:r w:rsidRPr="007E1AE8">
        <w:tab/>
        <w:t xml:space="preserve">Gli esami devono essere stati eseguiti </w:t>
      </w:r>
      <w:r w:rsidR="00D87DA4">
        <w:t xml:space="preserve">inderogabilmente </w:t>
      </w:r>
      <w:r w:rsidR="00AB09B4">
        <w:t>entro</w:t>
      </w:r>
      <w:r w:rsidRPr="007E1AE8">
        <w:t xml:space="preserve"> </w:t>
      </w:r>
      <w:r w:rsidR="00AB09B4">
        <w:t>tre</w:t>
      </w:r>
      <w:r w:rsidRPr="007E1AE8">
        <w:t xml:space="preserve"> mes</w:t>
      </w:r>
      <w:r w:rsidR="00AB09B4">
        <w:t>i</w:t>
      </w:r>
      <w:r w:rsidRPr="007E1AE8">
        <w:t xml:space="preserve"> prima dell’</w:t>
      </w:r>
      <w:r w:rsidR="00D87DA4">
        <w:t>indagine radiologica</w:t>
      </w:r>
      <w:r w:rsidRPr="007E1AE8">
        <w:t>.</w:t>
      </w:r>
    </w:p>
    <w:p w14:paraId="2DF4D17B" w14:textId="77777777" w:rsidR="007E1AE8" w:rsidRPr="007E1AE8" w:rsidRDefault="007E1AE8" w:rsidP="007E1AE8">
      <w:pPr>
        <w:spacing w:after="0" w:line="240" w:lineRule="auto"/>
        <w:jc w:val="both"/>
      </w:pPr>
    </w:p>
    <w:p w14:paraId="24152B1C" w14:textId="77777777" w:rsidR="007E1AE8" w:rsidRPr="007E1AE8" w:rsidRDefault="007E1AE8" w:rsidP="007E1AE8">
      <w:pPr>
        <w:spacing w:after="0" w:line="240" w:lineRule="auto"/>
        <w:jc w:val="both"/>
      </w:pPr>
      <w:r w:rsidRPr="007E1AE8">
        <w:t>Il paziente dovrà eseguire un digiuno di almeno 6 (sei) ore prima di sottoporsi all’esame, potrà bere acqua o the. Non va sospesa l’assunzione di farmaci abitualmente assunti.</w:t>
      </w:r>
    </w:p>
    <w:p w14:paraId="5B239954" w14:textId="77777777" w:rsidR="007E1AE8" w:rsidRPr="007E1AE8" w:rsidRDefault="007E1AE8" w:rsidP="007E1AE8">
      <w:pPr>
        <w:spacing w:after="0" w:line="240" w:lineRule="auto"/>
        <w:jc w:val="both"/>
      </w:pPr>
    </w:p>
    <w:p w14:paraId="7FBE0247" w14:textId="7199418C" w:rsidR="007E1AE8" w:rsidRPr="007E1AE8" w:rsidRDefault="007E1AE8" w:rsidP="007E1AE8">
      <w:pPr>
        <w:spacing w:after="0" w:line="240" w:lineRule="auto"/>
        <w:jc w:val="both"/>
      </w:pPr>
      <w:r w:rsidRPr="007E1AE8">
        <w:t xml:space="preserve">Si raccomanda di portare eventuali esami radiologi precedenti (TC, RM, Ecografia PT-TC </w:t>
      </w:r>
      <w:proofErr w:type="spellStart"/>
      <w:r w:rsidRPr="007E1AE8">
        <w:t>etc</w:t>
      </w:r>
      <w:proofErr w:type="spellEnd"/>
      <w:r w:rsidRPr="007E1AE8">
        <w:t>) e se sottoposto a interventi chirurgici cartella clinica e/o lettera di dimissioni.</w:t>
      </w:r>
    </w:p>
    <w:p w14:paraId="376A6B09" w14:textId="77777777" w:rsidR="007E1AE8" w:rsidRPr="007E1AE8" w:rsidRDefault="007E1AE8" w:rsidP="007E1AE8">
      <w:pPr>
        <w:spacing w:after="0" w:line="240" w:lineRule="auto"/>
        <w:jc w:val="both"/>
      </w:pPr>
    </w:p>
    <w:p w14:paraId="0898FAE2" w14:textId="77777777" w:rsidR="007E1AE8" w:rsidRPr="007E1AE8" w:rsidRDefault="007E1AE8" w:rsidP="007E1AE8">
      <w:pPr>
        <w:spacing w:after="0" w:line="240" w:lineRule="auto"/>
        <w:jc w:val="both"/>
        <w:rPr>
          <w:b/>
        </w:rPr>
      </w:pPr>
      <w:r w:rsidRPr="007E1AE8">
        <w:rPr>
          <w:b/>
        </w:rPr>
        <w:t>Allergie</w:t>
      </w:r>
    </w:p>
    <w:p w14:paraId="6FDD75EF" w14:textId="77777777" w:rsidR="007E1AE8" w:rsidRPr="007E1AE8" w:rsidRDefault="007E1AE8" w:rsidP="007E1AE8">
      <w:pPr>
        <w:spacing w:after="0" w:line="240" w:lineRule="auto"/>
        <w:jc w:val="both"/>
        <w:rPr>
          <w:b/>
        </w:rPr>
      </w:pPr>
    </w:p>
    <w:p w14:paraId="1E0236C1" w14:textId="77777777" w:rsidR="007E1AE8" w:rsidRPr="007E1AE8" w:rsidRDefault="007E1AE8" w:rsidP="007E1AE8">
      <w:pPr>
        <w:spacing w:after="0" w:line="240" w:lineRule="auto"/>
        <w:jc w:val="both"/>
      </w:pPr>
      <w:r w:rsidRPr="007E1AE8">
        <w:t xml:space="preserve">Il medico richiedente e/o lo specialista radiologo prima di un esame con </w:t>
      </w:r>
      <w:proofErr w:type="spellStart"/>
      <w:r w:rsidRPr="007E1AE8">
        <w:t>MdC</w:t>
      </w:r>
      <w:proofErr w:type="spellEnd"/>
      <w:r w:rsidRPr="007E1AE8">
        <w:t xml:space="preserve"> raccoglie un’anamnesi accurata che permetta l’identificazione dei pazienti a rischio ovvero pazienti con:</w:t>
      </w:r>
    </w:p>
    <w:p w14:paraId="55FB575D" w14:textId="77777777" w:rsidR="007E1AE8" w:rsidRPr="007E1AE8" w:rsidRDefault="007E1AE8" w:rsidP="007E1AE8">
      <w:pPr>
        <w:spacing w:after="0" w:line="240" w:lineRule="auto"/>
        <w:jc w:val="both"/>
      </w:pPr>
    </w:p>
    <w:p w14:paraId="26536F0B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 xml:space="preserve"> pregressa reazione allergica o simil-allergica a seguito di un’indagine con la medesima classe di </w:t>
      </w:r>
      <w:proofErr w:type="spellStart"/>
      <w:r w:rsidRPr="007E1AE8">
        <w:t>MdC</w:t>
      </w:r>
      <w:proofErr w:type="spellEnd"/>
      <w:r w:rsidRPr="007E1AE8">
        <w:t xml:space="preserve"> da impiegare (per es., a base di gadolinio o di iodio);</w:t>
      </w:r>
    </w:p>
    <w:p w14:paraId="69D7ADD1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>presenza di asma bronchiale o orticaria-angioedema non controllati dalla terapia farmacologica;</w:t>
      </w:r>
    </w:p>
    <w:p w14:paraId="12342D4E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proofErr w:type="spellStart"/>
      <w:r w:rsidRPr="007E1AE8">
        <w:t>mastocitosi</w:t>
      </w:r>
      <w:proofErr w:type="spellEnd"/>
      <w:r w:rsidRPr="007E1AE8">
        <w:t>;</w:t>
      </w:r>
    </w:p>
    <w:p w14:paraId="76BABEE8" w14:textId="77777777" w:rsidR="007E1AE8" w:rsidRPr="007E1AE8" w:rsidRDefault="007E1AE8" w:rsidP="007E1AE8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7E1AE8">
        <w:t>pregressa anafilassi idiopatica (ovvero storia di episodio/i di anafilassi in cui non è riconoscibile la causa scatenante).</w:t>
      </w:r>
    </w:p>
    <w:p w14:paraId="753AC59C" w14:textId="77777777" w:rsidR="007E1AE8" w:rsidRPr="007E1AE8" w:rsidRDefault="007E1AE8" w:rsidP="007E1AE8">
      <w:pPr>
        <w:spacing w:after="0" w:line="240" w:lineRule="auto"/>
        <w:ind w:left="360"/>
        <w:jc w:val="both"/>
      </w:pPr>
    </w:p>
    <w:p w14:paraId="6ABBF146" w14:textId="77777777" w:rsidR="007E1AE8" w:rsidRPr="007E1AE8" w:rsidRDefault="007E1AE8" w:rsidP="007E1AE8">
      <w:pPr>
        <w:spacing w:after="0" w:line="240" w:lineRule="auto"/>
        <w:jc w:val="both"/>
      </w:pPr>
      <w:r w:rsidRPr="007E1AE8">
        <w:t xml:space="preserve">In caso di un'allergia nota al mezzo di contrasto, bisogna rivolgersi al proprio medico e/o al medico radiologo </w:t>
      </w:r>
      <w:proofErr w:type="gramStart"/>
      <w:r w:rsidRPr="007E1AE8">
        <w:t>per  valutare</w:t>
      </w:r>
      <w:proofErr w:type="gramEnd"/>
      <w:r w:rsidRPr="007E1AE8">
        <w:t xml:space="preserve"> la possibilità di eseguire indagini alternative.</w:t>
      </w:r>
    </w:p>
    <w:p w14:paraId="4723F128" w14:textId="77777777" w:rsidR="007E1AE8" w:rsidRPr="007E1AE8" w:rsidRDefault="007E1AE8" w:rsidP="007E1AE8">
      <w:pPr>
        <w:spacing w:after="0" w:line="240" w:lineRule="auto"/>
        <w:jc w:val="both"/>
      </w:pPr>
    </w:p>
    <w:p w14:paraId="7053DD3E" w14:textId="49212E29" w:rsidR="007E1AE8" w:rsidRDefault="007E1AE8" w:rsidP="007E1AE8">
      <w:pPr>
        <w:spacing w:after="0" w:line="240" w:lineRule="auto"/>
        <w:jc w:val="both"/>
      </w:pPr>
      <w:r w:rsidRPr="007E1AE8">
        <w:t xml:space="preserve">Se è confermata la necessità di effettuare l’esame rivolgersi al servizio </w:t>
      </w:r>
      <w:r w:rsidR="00CE6E82">
        <w:t xml:space="preserve">di radiodiagnostica </w:t>
      </w:r>
      <w:r w:rsidRPr="007E1AE8">
        <w:t xml:space="preserve">della nostra struttura e poi presentare al proprio Medico Curante il protocollo di </w:t>
      </w:r>
      <w:proofErr w:type="gramStart"/>
      <w:r w:rsidRPr="007E1AE8">
        <w:t>premedicazione  per</w:t>
      </w:r>
      <w:proofErr w:type="gramEnd"/>
      <w:r w:rsidRPr="007E1AE8">
        <w:t xml:space="preserve"> i soggetti</w:t>
      </w:r>
      <w:r w:rsidR="00D87DA4">
        <w:t xml:space="preserve"> </w:t>
      </w:r>
      <w:r w:rsidRPr="007E1AE8">
        <w:t>con ipersensibilità predisposto dalle nuove linee guida SIRM-SIAAIC</w:t>
      </w:r>
      <w:r w:rsidR="00D87DA4">
        <w:t xml:space="preserve"> e le indicazioni dell’</w:t>
      </w:r>
      <w:r w:rsidR="004C2C1A">
        <w:t xml:space="preserve"> American College of </w:t>
      </w:r>
      <w:proofErr w:type="spellStart"/>
      <w:r w:rsidR="004C2C1A">
        <w:t>Radiology</w:t>
      </w:r>
      <w:proofErr w:type="spellEnd"/>
      <w:r w:rsidRPr="007E1AE8">
        <w:t>, per ridurre il rischio di reazioni importanti.</w:t>
      </w:r>
    </w:p>
    <w:p w14:paraId="6773E3A0" w14:textId="63F06231" w:rsidR="004C2C1A" w:rsidRDefault="004C2C1A" w:rsidP="007E1AE8">
      <w:pPr>
        <w:spacing w:after="0" w:line="240" w:lineRule="auto"/>
        <w:jc w:val="both"/>
      </w:pPr>
    </w:p>
    <w:p w14:paraId="17F3CF50" w14:textId="4C4FA38B" w:rsidR="004C2C1A" w:rsidRPr="007E1AE8" w:rsidRDefault="004C2C1A" w:rsidP="007E1AE8">
      <w:pPr>
        <w:spacing w:after="0" w:line="240" w:lineRule="auto"/>
        <w:jc w:val="both"/>
      </w:pPr>
      <w:r>
        <w:t>Nei casi di allergia nota ad un mezzo di contrasto è comunque indispensabile fornire il nome dell’esatta molecola: in caso di mancanza di tale dato l’esame non potrà essere eseguito.</w:t>
      </w:r>
    </w:p>
    <w:p w14:paraId="5C5B7BD2" w14:textId="77777777" w:rsidR="007E1AE8" w:rsidRDefault="007E1AE8" w:rsidP="007E1AE8">
      <w:pPr>
        <w:spacing w:after="0" w:line="240" w:lineRule="auto"/>
        <w:jc w:val="both"/>
      </w:pPr>
    </w:p>
    <w:p w14:paraId="22A346AC" w14:textId="77777777" w:rsidR="00CE6E82" w:rsidRDefault="00CE6E82" w:rsidP="007E1AE8">
      <w:pPr>
        <w:spacing w:after="0" w:line="240" w:lineRule="auto"/>
        <w:jc w:val="both"/>
      </w:pPr>
    </w:p>
    <w:p w14:paraId="2A797B0F" w14:textId="77777777" w:rsidR="00CE6E82" w:rsidRDefault="00CE6E82" w:rsidP="007E1AE8">
      <w:pPr>
        <w:spacing w:after="0" w:line="240" w:lineRule="auto"/>
        <w:jc w:val="both"/>
      </w:pPr>
    </w:p>
    <w:p w14:paraId="799D6605" w14:textId="77777777" w:rsidR="00CE6E82" w:rsidRPr="007E1AE8" w:rsidRDefault="00CE6E82" w:rsidP="007E1AE8">
      <w:pPr>
        <w:spacing w:after="0" w:line="240" w:lineRule="auto"/>
        <w:jc w:val="both"/>
      </w:pPr>
    </w:p>
    <w:p w14:paraId="3CAA217F" w14:textId="77777777" w:rsidR="007E1AE8" w:rsidRPr="007E1AE8" w:rsidRDefault="007E1AE8" w:rsidP="007E1AE8">
      <w:pPr>
        <w:spacing w:after="0" w:line="240" w:lineRule="auto"/>
        <w:jc w:val="both"/>
        <w:rPr>
          <w:b/>
        </w:rPr>
      </w:pPr>
      <w:r w:rsidRPr="007E1AE8">
        <w:rPr>
          <w:b/>
        </w:rPr>
        <w:t>Schema di premedicazione consigliato:</w:t>
      </w:r>
    </w:p>
    <w:p w14:paraId="65D3E8CA" w14:textId="77777777" w:rsidR="007E1AE8" w:rsidRPr="007E1AE8" w:rsidRDefault="007E1AE8" w:rsidP="007E1AE8">
      <w:pPr>
        <w:spacing w:after="0" w:line="240" w:lineRule="auto"/>
        <w:jc w:val="both"/>
        <w:rPr>
          <w:b/>
        </w:rPr>
      </w:pPr>
    </w:p>
    <w:p w14:paraId="0D967D8E" w14:textId="6FEFD598" w:rsidR="007E1AE8" w:rsidRPr="007E1AE8" w:rsidRDefault="007E1AE8" w:rsidP="007E1AE8">
      <w:pPr>
        <w:spacing w:after="0" w:line="240" w:lineRule="auto"/>
        <w:jc w:val="both"/>
      </w:pPr>
      <w:r w:rsidRPr="007E1AE8">
        <w:t xml:space="preserve">-  prednisone </w:t>
      </w:r>
      <w:r w:rsidR="004C2C1A">
        <w:t>25</w:t>
      </w:r>
      <w:r w:rsidRPr="007E1AE8">
        <w:t xml:space="preserve"> mg</w:t>
      </w:r>
      <w:r w:rsidR="004C2C1A">
        <w:t xml:space="preserve">, due compresse </w:t>
      </w:r>
      <w:proofErr w:type="spellStart"/>
      <w:r w:rsidR="004C2C1A">
        <w:t>os</w:t>
      </w:r>
      <w:proofErr w:type="spellEnd"/>
      <w:r w:rsidR="004C2C1A">
        <w:t xml:space="preserve"> </w:t>
      </w:r>
      <w:r w:rsidRPr="007E1AE8">
        <w:t>13, 7 ed 1 ora prima dell’esame;</w:t>
      </w:r>
    </w:p>
    <w:p w14:paraId="615B60D7" w14:textId="5F96D1BA" w:rsidR="007E1AE8" w:rsidRDefault="007E1AE8" w:rsidP="007E1AE8">
      <w:pPr>
        <w:spacing w:after="0" w:line="240" w:lineRule="auto"/>
        <w:jc w:val="both"/>
      </w:pPr>
      <w:r w:rsidRPr="007E1AE8">
        <w:t xml:space="preserve">-  antistaminico (per es. </w:t>
      </w:r>
      <w:proofErr w:type="spellStart"/>
      <w:r w:rsidR="004C2C1A">
        <w:t>levocitirizina</w:t>
      </w:r>
      <w:proofErr w:type="spellEnd"/>
      <w:r w:rsidR="004C2C1A">
        <w:t xml:space="preserve"> </w:t>
      </w:r>
      <w:proofErr w:type="spellStart"/>
      <w:r w:rsidR="004C2C1A">
        <w:t>dicloridrato</w:t>
      </w:r>
      <w:proofErr w:type="spellEnd"/>
      <w:r w:rsidRPr="007E1AE8">
        <w:t xml:space="preserve">) 1 </w:t>
      </w:r>
      <w:r w:rsidR="004C2C1A">
        <w:t xml:space="preserve">compressa </w:t>
      </w:r>
      <w:proofErr w:type="spellStart"/>
      <w:r w:rsidR="004C2C1A">
        <w:t>o</w:t>
      </w:r>
      <w:r w:rsidR="00CE6E82">
        <w:t>s</w:t>
      </w:r>
      <w:proofErr w:type="spellEnd"/>
      <w:r w:rsidR="004C2C1A">
        <w:t xml:space="preserve"> 48, 24 ed 1 </w:t>
      </w:r>
      <w:r w:rsidRPr="007E1AE8">
        <w:t>ora prima dell’esame</w:t>
      </w:r>
      <w:r w:rsidR="004C2C1A">
        <w:t>;</w:t>
      </w:r>
    </w:p>
    <w:p w14:paraId="004B5753" w14:textId="77777777" w:rsidR="00CE6E82" w:rsidRDefault="004C2C1A" w:rsidP="007E1AE8">
      <w:pPr>
        <w:spacing w:after="0" w:line="240" w:lineRule="auto"/>
        <w:jc w:val="both"/>
      </w:pPr>
      <w:r>
        <w:t xml:space="preserve">- </w:t>
      </w:r>
      <w:r w:rsidR="00FE3FB4">
        <w:t xml:space="preserve"> </w:t>
      </w:r>
      <w:r>
        <w:t>inibitore di pompa protonica</w:t>
      </w:r>
      <w:r w:rsidR="00FE3FB4">
        <w:t xml:space="preserve"> </w:t>
      </w:r>
      <w:r>
        <w:t>od inibitore H2</w:t>
      </w:r>
      <w:r w:rsidR="00CE6E82">
        <w:t xml:space="preserve"> (p. es </w:t>
      </w:r>
      <w:proofErr w:type="spellStart"/>
      <w:r w:rsidR="00CE6E82">
        <w:t>pantoprazolo</w:t>
      </w:r>
      <w:proofErr w:type="spellEnd"/>
      <w:r w:rsidR="00CE6E82">
        <w:t xml:space="preserve"> 40 mg o </w:t>
      </w:r>
      <w:proofErr w:type="spellStart"/>
      <w:r w:rsidR="00CE6E82">
        <w:t>ranitidina</w:t>
      </w:r>
      <w:proofErr w:type="spellEnd"/>
      <w:r w:rsidR="00CE6E82">
        <w:t xml:space="preserve"> 300 mg)</w:t>
      </w:r>
      <w:r>
        <w:t xml:space="preserve">, </w:t>
      </w:r>
      <w:r w:rsidR="00CE6E82">
        <w:t xml:space="preserve">una compressa   </w:t>
      </w:r>
    </w:p>
    <w:p w14:paraId="07865C65" w14:textId="20077B4E" w:rsidR="004C2C1A" w:rsidRPr="007E1AE8" w:rsidRDefault="00CE6E82" w:rsidP="007E1AE8">
      <w:pPr>
        <w:spacing w:after="0" w:line="240" w:lineRule="auto"/>
        <w:jc w:val="both"/>
      </w:pPr>
      <w:r>
        <w:t xml:space="preserve">   </w:t>
      </w:r>
      <w:proofErr w:type="spellStart"/>
      <w:r>
        <w:t>os</w:t>
      </w:r>
      <w:proofErr w:type="spellEnd"/>
      <w:r>
        <w:t xml:space="preserve"> </w:t>
      </w:r>
      <w:r w:rsidR="004C2C1A">
        <w:t>48, 24 e 2 ore prima dell’esame.</w:t>
      </w:r>
    </w:p>
    <w:p w14:paraId="4366F376" w14:textId="77777777" w:rsidR="00CE6E82" w:rsidRDefault="00CE6E82" w:rsidP="007E1AE8">
      <w:pPr>
        <w:spacing w:after="0" w:line="240" w:lineRule="auto"/>
        <w:jc w:val="both"/>
        <w:rPr>
          <w:b/>
          <w:bCs/>
        </w:rPr>
      </w:pPr>
    </w:p>
    <w:p w14:paraId="099EF10D" w14:textId="265FC721" w:rsidR="007E1AE8" w:rsidRPr="00474DB8" w:rsidRDefault="00474DB8" w:rsidP="007E1AE8">
      <w:pPr>
        <w:spacing w:after="0" w:line="240" w:lineRule="auto"/>
        <w:jc w:val="both"/>
        <w:rPr>
          <w:b/>
          <w:bCs/>
        </w:rPr>
      </w:pPr>
      <w:r w:rsidRPr="00474DB8">
        <w:rPr>
          <w:b/>
          <w:bCs/>
        </w:rPr>
        <w:t>Condizioni particolari</w:t>
      </w:r>
      <w:r w:rsidRPr="00474DB8">
        <w:rPr>
          <w:b/>
          <w:bCs/>
        </w:rPr>
        <w:tab/>
      </w:r>
      <w:r w:rsidRPr="00474DB8">
        <w:rPr>
          <w:b/>
          <w:bCs/>
        </w:rPr>
        <w:tab/>
      </w:r>
    </w:p>
    <w:p w14:paraId="31C9890E" w14:textId="1B9BB9BA" w:rsidR="00474DB8" w:rsidRDefault="00474DB8" w:rsidP="007E1AE8">
      <w:pPr>
        <w:spacing w:after="0" w:line="240" w:lineRule="auto"/>
        <w:jc w:val="both"/>
      </w:pPr>
    </w:p>
    <w:p w14:paraId="3696491F" w14:textId="6DD2ECB4" w:rsidR="008E0D39" w:rsidRDefault="00474DB8" w:rsidP="007E1AE8">
      <w:pPr>
        <w:spacing w:after="0" w:line="240" w:lineRule="auto"/>
        <w:jc w:val="both"/>
      </w:pPr>
      <w:r w:rsidRPr="002C0C11">
        <w:rPr>
          <w:u w:val="single"/>
        </w:rPr>
        <w:t>Pazienti diabetici in trattamento con metformina</w:t>
      </w:r>
      <w:r>
        <w:t xml:space="preserve">: il paziente in trattamento con metformina deve sospendere il trattamento 48 ore prima dell’esame in caso di filtrato glomerulare inferiore od uguale a </w:t>
      </w:r>
      <w:r w:rsidR="008E0D39">
        <w:t>40</w:t>
      </w:r>
      <w:r>
        <w:t xml:space="preserve"> ml/min/1.73 mq</w:t>
      </w:r>
      <w:r w:rsidR="006A732F">
        <w:t xml:space="preserve"> e soltanto nel caso in cui l’esame con </w:t>
      </w:r>
      <w:proofErr w:type="spellStart"/>
      <w:r w:rsidR="006A732F">
        <w:t>MdC</w:t>
      </w:r>
      <w:proofErr w:type="spellEnd"/>
      <w:r w:rsidR="006A732F">
        <w:t xml:space="preserve"> sia mandatorio e non vi siano altrettanto valide alternative diagnostiche. </w:t>
      </w:r>
      <w:r>
        <w:t xml:space="preserve"> Il medico di famiglia e/o il diabetologo di fiducia devono essere interpellati dal paziente per trovare un</w:t>
      </w:r>
      <w:r w:rsidR="00FB764C">
        <w:t xml:space="preserve"> </w:t>
      </w:r>
      <w:r>
        <w:t>altrettanto valida temporanea alternativa terapeutica. La terapia con metformina pu</w:t>
      </w:r>
      <w:r w:rsidR="002C0C11">
        <w:t xml:space="preserve">ò iniziare </w:t>
      </w:r>
      <w:proofErr w:type="gramStart"/>
      <w:r w:rsidR="002C0C11">
        <w:t>nuovamente  48</w:t>
      </w:r>
      <w:proofErr w:type="gramEnd"/>
      <w:r w:rsidR="002C0C11">
        <w:t xml:space="preserve"> ore dopo la somministrazione del mezzo di contrasto iodato </w:t>
      </w:r>
      <w:proofErr w:type="spellStart"/>
      <w:r w:rsidR="002C0C11">
        <w:t>ev</w:t>
      </w:r>
      <w:proofErr w:type="spellEnd"/>
      <w:r w:rsidR="002C0C11">
        <w:t xml:space="preserve">  in caso di confermata stabilità dei valori di funzionalità renale e soltanto sotto la supervisione del proprio medico di fiducia.</w:t>
      </w:r>
      <w:r w:rsidR="008E0D39">
        <w:t xml:space="preserve"> </w:t>
      </w:r>
    </w:p>
    <w:p w14:paraId="4030CDAA" w14:textId="171631F9" w:rsidR="00474DB8" w:rsidRDefault="008E0D39" w:rsidP="007E1AE8">
      <w:pPr>
        <w:spacing w:after="0" w:line="240" w:lineRule="auto"/>
        <w:jc w:val="both"/>
      </w:pPr>
      <w:r>
        <w:t xml:space="preserve">In caso di filtrato glomerulare inferiore od uguale a 30 </w:t>
      </w:r>
      <w:proofErr w:type="spellStart"/>
      <w:r>
        <w:t>mil</w:t>
      </w:r>
      <w:proofErr w:type="spellEnd"/>
      <w:r>
        <w:t xml:space="preserve">/min/1,73 mq l’esame con </w:t>
      </w:r>
      <w:proofErr w:type="spellStart"/>
      <w:r>
        <w:t>MdC</w:t>
      </w:r>
      <w:proofErr w:type="spellEnd"/>
      <w:r>
        <w:t xml:space="preserve"> è fortemente sconsigliato e la sua esecuzione andrà valutata in sede in relazione alle complessive condizioni del paziente.</w:t>
      </w:r>
    </w:p>
    <w:p w14:paraId="5A45A0FB" w14:textId="3C3D99CC" w:rsidR="002C0C11" w:rsidRDefault="002C0C11" w:rsidP="007E1AE8">
      <w:pPr>
        <w:spacing w:after="0" w:line="240" w:lineRule="auto"/>
        <w:jc w:val="both"/>
      </w:pPr>
    </w:p>
    <w:p w14:paraId="2241EE12" w14:textId="0C7C4956" w:rsidR="002C0C11" w:rsidRDefault="002C0C11" w:rsidP="007E1AE8">
      <w:pPr>
        <w:spacing w:after="0" w:line="240" w:lineRule="auto"/>
        <w:jc w:val="both"/>
      </w:pPr>
      <w:r>
        <w:t xml:space="preserve">Il paziente con </w:t>
      </w:r>
      <w:r w:rsidRPr="002C0C11">
        <w:rPr>
          <w:u w:val="single"/>
        </w:rPr>
        <w:t>mieloma multiplo</w:t>
      </w:r>
      <w:r>
        <w:t xml:space="preserve"> o con miastenia </w:t>
      </w:r>
      <w:proofErr w:type="spellStart"/>
      <w:r>
        <w:t>gravis</w:t>
      </w:r>
      <w:proofErr w:type="spellEnd"/>
      <w:r>
        <w:t xml:space="preserve"> non può effettuare esame TC con mdc</w:t>
      </w:r>
      <w:r w:rsidR="00CE6E82">
        <w:t xml:space="preserve"> presso la nostra struttura</w:t>
      </w:r>
      <w:r>
        <w:t>.</w:t>
      </w:r>
    </w:p>
    <w:p w14:paraId="37898062" w14:textId="310EEEEB" w:rsidR="002C0C11" w:rsidRDefault="002C0C11" w:rsidP="007E1AE8">
      <w:pPr>
        <w:spacing w:after="0" w:line="240" w:lineRule="auto"/>
        <w:jc w:val="both"/>
      </w:pPr>
    </w:p>
    <w:p w14:paraId="24F07382" w14:textId="5C3A2A1E" w:rsidR="002C0C11" w:rsidRPr="00DD3DBA" w:rsidRDefault="002C0C11" w:rsidP="007E1AE8">
      <w:pPr>
        <w:spacing w:after="0" w:line="240" w:lineRule="auto"/>
        <w:jc w:val="both"/>
      </w:pPr>
      <w:r>
        <w:t xml:space="preserve">Il paziente sottoposto a </w:t>
      </w:r>
      <w:r w:rsidRPr="002C0C11">
        <w:rPr>
          <w:u w:val="single"/>
        </w:rPr>
        <w:t xml:space="preserve">terapia </w:t>
      </w:r>
      <w:proofErr w:type="spellStart"/>
      <w:r w:rsidRPr="002C0C11">
        <w:rPr>
          <w:u w:val="single"/>
        </w:rPr>
        <w:t>radiometabolica</w:t>
      </w:r>
      <w:proofErr w:type="spellEnd"/>
      <w:r>
        <w:rPr>
          <w:u w:val="single"/>
        </w:rPr>
        <w:t xml:space="preserve"> </w:t>
      </w:r>
      <w:r w:rsidRPr="00DD3DBA">
        <w:t xml:space="preserve">per </w:t>
      </w:r>
      <w:proofErr w:type="spellStart"/>
      <w:r w:rsidRPr="00DD3DBA">
        <w:t>cr</w:t>
      </w:r>
      <w:proofErr w:type="spellEnd"/>
      <w:r w:rsidR="00DD3DBA" w:rsidRPr="00DD3DBA">
        <w:t xml:space="preserve"> della tiroide o che abbia avuto un</w:t>
      </w:r>
      <w:r w:rsidR="00FB764C">
        <w:t>a</w:t>
      </w:r>
      <w:r w:rsidR="00DD3DBA" w:rsidRPr="00DD3DBA">
        <w:t xml:space="preserve"> </w:t>
      </w:r>
      <w:r w:rsidR="00DD3DBA" w:rsidRPr="00BD7622">
        <w:rPr>
          <w:u w:val="single"/>
        </w:rPr>
        <w:t>crisi tireotossica</w:t>
      </w:r>
      <w:r w:rsidR="00DD3DBA" w:rsidRPr="00DD3DBA">
        <w:t xml:space="preserve"> non può essere sottopost</w:t>
      </w:r>
      <w:r w:rsidR="006A732F">
        <w:t>o</w:t>
      </w:r>
      <w:r w:rsidR="00DD3DBA">
        <w:t xml:space="preserve"> somministrazione </w:t>
      </w:r>
      <w:proofErr w:type="spellStart"/>
      <w:r w:rsidR="00DD3DBA">
        <w:t>ev</w:t>
      </w:r>
      <w:proofErr w:type="spellEnd"/>
      <w:r w:rsidR="00DD3DBA">
        <w:t xml:space="preserve"> di MDC iodato se non sono passate almeno 6 settimane dall’evento (ultima somministrazione di iodio radioattivo o risoluzione della crisi tireotossica).</w:t>
      </w:r>
    </w:p>
    <w:p w14:paraId="6ADDD286" w14:textId="77777777" w:rsidR="00474DB8" w:rsidRPr="007E1AE8" w:rsidRDefault="00474DB8" w:rsidP="007E1AE8">
      <w:pPr>
        <w:spacing w:after="0" w:line="240" w:lineRule="auto"/>
        <w:jc w:val="both"/>
      </w:pPr>
    </w:p>
    <w:p w14:paraId="31922424" w14:textId="77777777" w:rsidR="007E1AE8" w:rsidRPr="007E1AE8" w:rsidRDefault="007E1AE8" w:rsidP="007E1AE8">
      <w:pPr>
        <w:spacing w:after="0" w:line="240" w:lineRule="auto"/>
        <w:jc w:val="both"/>
      </w:pPr>
      <w:r w:rsidRPr="007E1AE8">
        <w:t>Il giorno dell’esame andrà esibita:</w:t>
      </w:r>
    </w:p>
    <w:p w14:paraId="4E813731" w14:textId="77777777" w:rsidR="007E1AE8" w:rsidRPr="007E1AE8" w:rsidRDefault="007E1AE8" w:rsidP="007E1AE8">
      <w:pPr>
        <w:spacing w:after="0" w:line="240" w:lineRule="auto"/>
        <w:jc w:val="both"/>
      </w:pPr>
      <w:r w:rsidRPr="007E1AE8">
        <w:t>-</w:t>
      </w:r>
      <w:r w:rsidRPr="007E1AE8">
        <w:tab/>
        <w:t>Impegnativa del medico curante e/o richiesta del medico specialista richiedente l’esame;</w:t>
      </w:r>
    </w:p>
    <w:p w14:paraId="4E2F42E5" w14:textId="77777777" w:rsidR="007E1AE8" w:rsidRPr="007E1AE8" w:rsidRDefault="007E1AE8" w:rsidP="007E1AE8">
      <w:pPr>
        <w:spacing w:after="0" w:line="240" w:lineRule="auto"/>
        <w:jc w:val="both"/>
      </w:pPr>
      <w:r w:rsidRPr="007E1AE8">
        <w:t>-</w:t>
      </w:r>
      <w:r w:rsidRPr="007E1AE8">
        <w:tab/>
        <w:t>Tessera sanitaria;</w:t>
      </w:r>
    </w:p>
    <w:p w14:paraId="06261AD8" w14:textId="43F33EE2" w:rsidR="00E25A19" w:rsidRDefault="007E1AE8">
      <w:pPr>
        <w:spacing w:after="0" w:line="240" w:lineRule="auto"/>
        <w:jc w:val="both"/>
      </w:pPr>
      <w:r>
        <w:t>-</w:t>
      </w:r>
      <w:r>
        <w:tab/>
        <w:t xml:space="preserve">Documento di </w:t>
      </w:r>
      <w:r w:rsidRPr="007E1AE8">
        <w:t>identità</w:t>
      </w:r>
    </w:p>
    <w:p w14:paraId="65C03A0B" w14:textId="77777777" w:rsidR="00DD3DBA" w:rsidRPr="00E25A19" w:rsidRDefault="00DD3DBA">
      <w:pPr>
        <w:spacing w:after="0" w:line="240" w:lineRule="auto"/>
        <w:jc w:val="both"/>
      </w:pPr>
    </w:p>
    <w:sectPr w:rsidR="00DD3DBA" w:rsidRPr="00E25A19" w:rsidSect="00091D04">
      <w:headerReference w:type="default" r:id="rId7"/>
      <w:footerReference w:type="default" r:id="rId8"/>
      <w:pgSz w:w="11906" w:h="16838"/>
      <w:pgMar w:top="1417" w:right="1134" w:bottom="1134" w:left="1134" w:header="851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E0E5" w14:textId="77777777" w:rsidR="007F1ACE" w:rsidRDefault="007F1ACE" w:rsidP="00E25A19">
      <w:pPr>
        <w:spacing w:after="0" w:line="240" w:lineRule="auto"/>
      </w:pPr>
      <w:r>
        <w:separator/>
      </w:r>
    </w:p>
  </w:endnote>
  <w:endnote w:type="continuationSeparator" w:id="0">
    <w:p w14:paraId="3DB80BAF" w14:textId="77777777" w:rsidR="007F1ACE" w:rsidRDefault="007F1ACE" w:rsidP="00E2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0C40" w14:textId="77777777" w:rsidR="00E25A19" w:rsidRDefault="00E25A1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ED72A" wp14:editId="56A15FCA">
              <wp:simplePos x="0" y="0"/>
              <wp:positionH relativeFrom="column">
                <wp:posOffset>3810</wp:posOffset>
              </wp:positionH>
              <wp:positionV relativeFrom="paragraph">
                <wp:posOffset>78105</wp:posOffset>
              </wp:positionV>
              <wp:extent cx="6153150" cy="19050"/>
              <wp:effectExtent l="0" t="0" r="19050" b="19050"/>
              <wp:wrapNone/>
              <wp:docPr id="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19050"/>
                      </a:xfrm>
                      <a:prstGeom prst="line">
                        <a:avLst/>
                      </a:prstGeom>
                      <a:ln w="25400">
                        <a:solidFill>
                          <a:srgbClr val="DE87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70969B1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.15pt" to="484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" strokecolor="#de8728" strokeweight="2pt"/>
          </w:pict>
        </mc:Fallback>
      </mc:AlternateContent>
    </w:r>
  </w:p>
  <w:p w14:paraId="5129CA64" w14:textId="77777777" w:rsidR="00E25A19" w:rsidRDefault="00E25A19" w:rsidP="00E25A19">
    <w:pPr>
      <w:pStyle w:val="Pidipagina"/>
      <w:jc w:val="center"/>
    </w:pPr>
    <w:r>
      <w:t xml:space="preserve">KENTRON s.r.l. – Viale Europa snc – </w:t>
    </w:r>
    <w:proofErr w:type="spellStart"/>
    <w:r>
      <w:t>Loc</w:t>
    </w:r>
    <w:proofErr w:type="spellEnd"/>
    <w:r>
      <w:t xml:space="preserve">. S. Pietro </w:t>
    </w:r>
    <w:proofErr w:type="spellStart"/>
    <w:r>
      <w:t>Piturno</w:t>
    </w:r>
    <w:proofErr w:type="spellEnd"/>
    <w:r>
      <w:t xml:space="preserve"> – 70017 PUTIGNANO (Bari) – C.F. 05571500726</w:t>
    </w:r>
  </w:p>
  <w:p w14:paraId="4B4641AF" w14:textId="77777777" w:rsidR="00E25A19" w:rsidRDefault="00E25A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E230" w14:textId="77777777" w:rsidR="007F1ACE" w:rsidRDefault="007F1ACE" w:rsidP="00E25A19">
      <w:pPr>
        <w:spacing w:after="0" w:line="240" w:lineRule="auto"/>
      </w:pPr>
      <w:r>
        <w:separator/>
      </w:r>
    </w:p>
  </w:footnote>
  <w:footnote w:type="continuationSeparator" w:id="0">
    <w:p w14:paraId="61186C0A" w14:textId="77777777" w:rsidR="007F1ACE" w:rsidRDefault="007F1ACE" w:rsidP="00E2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5494" w14:textId="2BA5B250" w:rsidR="00E25A19" w:rsidRPr="005601F4" w:rsidRDefault="005601F4" w:rsidP="005601F4">
    <w:pPr>
      <w:pStyle w:val="Intestazione"/>
      <w:tabs>
        <w:tab w:val="clear" w:pos="4819"/>
        <w:tab w:val="clear" w:pos="9638"/>
      </w:tabs>
      <w:rPr>
        <w:b/>
        <w:bCs/>
        <w:noProof/>
      </w:rPr>
    </w:pPr>
    <w:r>
      <w:rPr>
        <w:noProof/>
      </w:rPr>
      <w:drawing>
        <wp:inline distT="0" distB="0" distL="0" distR="0" wp14:anchorId="32070A58" wp14:editId="5324B313">
          <wp:extent cx="2286000" cy="701040"/>
          <wp:effectExtent l="0" t="0" r="0" b="381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ab/>
    </w:r>
    <w:r w:rsidRPr="005601F4">
      <w:rPr>
        <w:b/>
        <w:bCs/>
        <w:noProof/>
      </w:rPr>
      <w:t>CENTRO DIAGNOSTICA PER IMMAGINI</w:t>
    </w:r>
  </w:p>
  <w:p w14:paraId="1E4B1492" w14:textId="5833F065" w:rsidR="005601F4" w:rsidRDefault="005601F4" w:rsidP="005601F4">
    <w:pPr>
      <w:pStyle w:val="Intestazione"/>
      <w:tabs>
        <w:tab w:val="clear" w:pos="4819"/>
        <w:tab w:val="clear" w:pos="9638"/>
      </w:tabs>
      <w:rPr>
        <w:noProof/>
      </w:rPr>
    </w:pPr>
    <w: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</w:t>
    </w:r>
    <w:r>
      <w:t xml:space="preserve"> Responsabile Medico</w:t>
    </w:r>
  </w:p>
  <w:p w14:paraId="406FBACB" w14:textId="4D8AFFFE" w:rsidR="005601F4" w:rsidRPr="005601F4" w:rsidRDefault="005601F4" w:rsidP="005601F4">
    <w:pPr>
      <w:pStyle w:val="Intestazione"/>
      <w:tabs>
        <w:tab w:val="clear" w:pos="4819"/>
        <w:tab w:val="clear" w:pos="9638"/>
      </w:tabs>
      <w:rPr>
        <w:i/>
        <w:iCs/>
      </w:rPr>
    </w:pPr>
    <w:r>
      <w:tab/>
    </w:r>
    <w:r>
      <w:tab/>
    </w:r>
    <w:r>
      <w:tab/>
    </w:r>
    <w:r>
      <w:tab/>
    </w:r>
    <w:r>
      <w:tab/>
      <w:t xml:space="preserve">              </w:t>
    </w:r>
    <w:r w:rsidRPr="005601F4">
      <w:rPr>
        <w:i/>
        <w:iCs/>
      </w:rPr>
      <w:t>Dott. Francesco Ciliberto</w:t>
    </w:r>
  </w:p>
  <w:p w14:paraId="45B0B35B" w14:textId="20D511AC" w:rsidR="00E25A19" w:rsidRDefault="00AE5C03" w:rsidP="00AE5C03">
    <w:pPr>
      <w:pStyle w:val="Intestazione"/>
      <w:tabs>
        <w:tab w:val="left" w:pos="708"/>
      </w:tabs>
      <w:jc w:val="right"/>
    </w:pPr>
    <w:r>
      <w:tab/>
      <w:t>REV 01 DEL 05/07/2023</w:t>
    </w:r>
  </w:p>
  <w:p w14:paraId="26DD7656" w14:textId="77777777" w:rsidR="00E25A19" w:rsidRDefault="00E25A19" w:rsidP="00E25A19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92B9EF" wp14:editId="14F3C810">
              <wp:simplePos x="0" y="0"/>
              <wp:positionH relativeFrom="column">
                <wp:posOffset>3810</wp:posOffset>
              </wp:positionH>
              <wp:positionV relativeFrom="paragraph">
                <wp:posOffset>-1270</wp:posOffset>
              </wp:positionV>
              <wp:extent cx="6153150" cy="19050"/>
              <wp:effectExtent l="0" t="0" r="19050" b="19050"/>
              <wp:wrapNone/>
              <wp:docPr id="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190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DE872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129F0D2" id="Connettore 1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1pt" to="484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" strokecolor="#de8728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E86"/>
    <w:multiLevelType w:val="hybridMultilevel"/>
    <w:tmpl w:val="709A3FC8"/>
    <w:lvl w:ilvl="0" w:tplc="2CB4445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02F"/>
    <w:multiLevelType w:val="hybridMultilevel"/>
    <w:tmpl w:val="15C6B0BA"/>
    <w:lvl w:ilvl="0" w:tplc="98F0B14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437D7"/>
    <w:multiLevelType w:val="hybridMultilevel"/>
    <w:tmpl w:val="E0383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475B4"/>
    <w:multiLevelType w:val="hybridMultilevel"/>
    <w:tmpl w:val="216689A6"/>
    <w:lvl w:ilvl="0" w:tplc="DBEED67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B"/>
    <w:rsid w:val="00031CC9"/>
    <w:rsid w:val="00091D04"/>
    <w:rsid w:val="000A2DFA"/>
    <w:rsid w:val="000B0628"/>
    <w:rsid w:val="0014407D"/>
    <w:rsid w:val="00210724"/>
    <w:rsid w:val="00295736"/>
    <w:rsid w:val="002C0C11"/>
    <w:rsid w:val="0032609D"/>
    <w:rsid w:val="00336257"/>
    <w:rsid w:val="00347798"/>
    <w:rsid w:val="003872ED"/>
    <w:rsid w:val="003D1030"/>
    <w:rsid w:val="003D3517"/>
    <w:rsid w:val="00433A98"/>
    <w:rsid w:val="0044595E"/>
    <w:rsid w:val="00474DB8"/>
    <w:rsid w:val="004C2C1A"/>
    <w:rsid w:val="004F4088"/>
    <w:rsid w:val="00504DF9"/>
    <w:rsid w:val="00535512"/>
    <w:rsid w:val="005601F4"/>
    <w:rsid w:val="006A732F"/>
    <w:rsid w:val="006F2215"/>
    <w:rsid w:val="007003DB"/>
    <w:rsid w:val="00715749"/>
    <w:rsid w:val="00785E2B"/>
    <w:rsid w:val="007A29FD"/>
    <w:rsid w:val="007A532F"/>
    <w:rsid w:val="007E1AE8"/>
    <w:rsid w:val="007F1ACE"/>
    <w:rsid w:val="00852DA9"/>
    <w:rsid w:val="008600C8"/>
    <w:rsid w:val="008D1FCD"/>
    <w:rsid w:val="008E0D39"/>
    <w:rsid w:val="008F1020"/>
    <w:rsid w:val="0092672D"/>
    <w:rsid w:val="00AB09B4"/>
    <w:rsid w:val="00AE5C03"/>
    <w:rsid w:val="00BD7622"/>
    <w:rsid w:val="00C94158"/>
    <w:rsid w:val="00CD0EDE"/>
    <w:rsid w:val="00CE6E82"/>
    <w:rsid w:val="00D12FAF"/>
    <w:rsid w:val="00D2241B"/>
    <w:rsid w:val="00D26A87"/>
    <w:rsid w:val="00D87DA4"/>
    <w:rsid w:val="00DA5DD7"/>
    <w:rsid w:val="00DD3DBA"/>
    <w:rsid w:val="00E03BCE"/>
    <w:rsid w:val="00E25A19"/>
    <w:rsid w:val="00E43A41"/>
    <w:rsid w:val="00E936AA"/>
    <w:rsid w:val="00ED5601"/>
    <w:rsid w:val="00EE3B65"/>
    <w:rsid w:val="00F86A73"/>
    <w:rsid w:val="00FB764C"/>
    <w:rsid w:val="00FE3FB4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24D40"/>
  <w15:docId w15:val="{C51148C3-A8FE-45FD-B20C-926BF181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3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5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A19"/>
  </w:style>
  <w:style w:type="paragraph" w:styleId="Pidipagina">
    <w:name w:val="footer"/>
    <w:basedOn w:val="Normale"/>
    <w:link w:val="PidipaginaCarattere"/>
    <w:uiPriority w:val="99"/>
    <w:unhideWhenUsed/>
    <w:rsid w:val="00E25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lorusso</dc:creator>
  <cp:lastModifiedBy>UTENTE</cp:lastModifiedBy>
  <cp:revision>10</cp:revision>
  <cp:lastPrinted>2024-10-08T12:49:00Z</cp:lastPrinted>
  <dcterms:created xsi:type="dcterms:W3CDTF">2023-07-06T06:59:00Z</dcterms:created>
  <dcterms:modified xsi:type="dcterms:W3CDTF">2024-10-18T08:20:00Z</dcterms:modified>
</cp:coreProperties>
</file>